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CF" w:rsidRPr="009279D4" w:rsidRDefault="006C6BCF" w:rsidP="006C6BCF">
      <w:pPr>
        <w:rPr>
          <w:rFonts w:ascii="Times New Roman" w:hAnsi="Times New Roman"/>
          <w:sz w:val="28"/>
          <w:szCs w:val="28"/>
          <w:lang w:val="kk-KZ"/>
        </w:rPr>
      </w:pPr>
    </w:p>
    <w:p w:rsidR="006C6BCF" w:rsidRPr="009279D4" w:rsidRDefault="006C6BCF" w:rsidP="006C6BCF">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6C6BCF" w:rsidRPr="009279D4" w:rsidRDefault="006C6BCF" w:rsidP="006C6BCF">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6C6BCF" w:rsidRPr="009279D4" w:rsidRDefault="006C6BCF" w:rsidP="006C6BCF">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6C6BCF" w:rsidRPr="009279D4" w:rsidRDefault="006C6BCF" w:rsidP="006C6BCF">
      <w:pPr>
        <w:spacing w:after="0" w:line="240" w:lineRule="auto"/>
        <w:jc w:val="center"/>
        <w:rPr>
          <w:rFonts w:ascii="Times New Roman" w:hAnsi="Times New Roman"/>
          <w:b/>
          <w:sz w:val="28"/>
          <w:szCs w:val="28"/>
          <w:lang w:val="kk-KZ"/>
        </w:rPr>
      </w:pPr>
    </w:p>
    <w:p w:rsidR="006C6BCF" w:rsidRDefault="006C6BCF" w:rsidP="006C6BCF">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6C6BCF" w:rsidRPr="00085E6F" w:rsidRDefault="006C6BCF" w:rsidP="006C6BCF">
      <w:pPr>
        <w:spacing w:after="0" w:line="240" w:lineRule="auto"/>
        <w:jc w:val="center"/>
        <w:rPr>
          <w:rFonts w:ascii="Times New Roman" w:hAnsi="Times New Roman"/>
          <w:b/>
          <w:sz w:val="28"/>
          <w:szCs w:val="28"/>
          <w:lang w:val="kk-KZ"/>
        </w:rPr>
      </w:pPr>
    </w:p>
    <w:p w:rsidR="006C6BCF" w:rsidRPr="009279D4" w:rsidRDefault="006C6BCF" w:rsidP="006C6BCF">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6C6BCF" w:rsidRDefault="006C6BCF" w:rsidP="006C6BCF">
      <w:pPr>
        <w:jc w:val="both"/>
        <w:rPr>
          <w:rFonts w:ascii="Times New Roman" w:hAnsi="Times New Roman"/>
          <w:b/>
          <w:sz w:val="28"/>
          <w:szCs w:val="28"/>
          <w:lang w:val="kk-KZ"/>
        </w:rPr>
      </w:pPr>
    </w:p>
    <w:p w:rsidR="006C6BCF" w:rsidRDefault="006C6BCF" w:rsidP="006C6BCF">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6C6BCF" w:rsidRPr="00D1638C" w:rsidRDefault="006C6BCF" w:rsidP="006C6BCF">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6C6BCF" w:rsidRDefault="006C6BCF" w:rsidP="006C6BCF">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6C6BCF" w:rsidRPr="00085E6F" w:rsidRDefault="006C6BCF" w:rsidP="006C6BCF">
      <w:pPr>
        <w:spacing w:after="0" w:line="240" w:lineRule="auto"/>
        <w:jc w:val="both"/>
        <w:rPr>
          <w:rFonts w:ascii="Times New Roman" w:hAnsi="Times New Roman"/>
          <w:sz w:val="28"/>
          <w:szCs w:val="28"/>
          <w:lang w:val="kk-KZ"/>
        </w:rPr>
      </w:pPr>
    </w:p>
    <w:p w:rsidR="006C6BCF" w:rsidRPr="00C3402A" w:rsidRDefault="006C6BCF" w:rsidP="006C6BCF">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6C6BCF" w:rsidRDefault="006C6BCF" w:rsidP="006C6BCF">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6C6BCF" w:rsidRPr="003123E5" w:rsidRDefault="006C6BCF" w:rsidP="006C6BCF">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6C6BCF" w:rsidRPr="00A73430" w:rsidRDefault="006C6BCF" w:rsidP="006C6BCF">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6C6BCF" w:rsidRPr="00ED72C1" w:rsidRDefault="006C6BCF" w:rsidP="006C6BCF">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6C6BCF" w:rsidRPr="00E87276"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6C6BCF" w:rsidRPr="00CD1755"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е қорытынды баға қойылады. Жұмыстың пайызы 60</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6C6BCF" w:rsidRPr="00CD1755" w:rsidRDefault="006C6BCF" w:rsidP="006C6BCF">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6C6BCF" w:rsidRDefault="006C6BCF" w:rsidP="006C6BCF">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7D1EC5" w:rsidRPr="006A5357" w:rsidRDefault="006C6BCF" w:rsidP="006C6BCF">
      <w:pPr>
        <w:rPr>
          <w:rFonts w:ascii="Times New Roman" w:hAnsi="Times New Roman"/>
          <w:b/>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жобасы (әр магистранттың 1 сұрақты жеке таңдауы бойыынша</w:t>
      </w:r>
      <w:r w:rsidR="006A5357">
        <w:rPr>
          <w:rFonts w:ascii="Times New Roman" w:hAnsi="Times New Roman"/>
          <w:b/>
          <w:sz w:val="28"/>
          <w:szCs w:val="28"/>
          <w:lang w:val="kk-KZ"/>
        </w:rPr>
        <w:t>:</w:t>
      </w:r>
    </w:p>
    <w:p w:rsidR="006A5357" w:rsidRPr="006A5357" w:rsidRDefault="006A5357" w:rsidP="006A5357">
      <w:pPr>
        <w:rPr>
          <w:rFonts w:ascii="Times New Roman" w:hAnsi="Times New Roman"/>
          <w:sz w:val="28"/>
          <w:szCs w:val="28"/>
          <w:lang w:val="kk-KZ"/>
        </w:rPr>
      </w:pP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1. Электрондық бизнестің мәні, объективті алғышарттары және даму тенденциялары.</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2. Интранет және экстранет желілерін құру ерекшеліктері мен жұмыс принциптері.</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3. Интернет желісіндегі электрондық коммерцияны құқықтық қамтамасыз ету.</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4. Электрондық коммерция объектілерінің жіктелуі. Электрондық айналымның ерекшеліктері материалдық және материалдық емес тауарлар нарығында.</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5. Корпоративтік сектордағы электрондық коммерция жүйелерінің түрлері мен сипаттамалары.</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6. Интернет желісінде электрондық Биржаның жұмыс істеу механизмі.</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7. Интернет желісінде электрондық көрмелерді ұйымдастыру.</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8. IP-телефонияның ерекшеліктері мен даму перспективалары.</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9. Ақпараттық өнімді сату және ақпараттық қызметтерді көрсету ерекшеліктері</w:t>
      </w:r>
      <w:r>
        <w:rPr>
          <w:rFonts w:ascii="Times New Roman" w:hAnsi="Times New Roman"/>
          <w:sz w:val="28"/>
          <w:szCs w:val="28"/>
          <w:lang w:val="kk-KZ"/>
        </w:rPr>
        <w:t xml:space="preserve">. </w:t>
      </w:r>
      <w:r w:rsidRPr="006A5357">
        <w:rPr>
          <w:rFonts w:ascii="Times New Roman" w:hAnsi="Times New Roman"/>
          <w:sz w:val="28"/>
          <w:szCs w:val="28"/>
          <w:lang w:val="kk-KZ"/>
        </w:rPr>
        <w:t>Интернет желілері.</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10. Туристік өнімнің электрондық саудасын ұйымдастыру.</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11. Электрондық коммерция процестерінде қаржылық есептеулерді ұйымдастыру.</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12. Мобильді коммерцияның мәні мен болашағы.</w:t>
      </w:r>
    </w:p>
    <w:p w:rsidR="006A5357" w:rsidRPr="006A5357" w:rsidRDefault="006A5357" w:rsidP="006A5357">
      <w:pPr>
        <w:rPr>
          <w:rFonts w:ascii="Times New Roman" w:hAnsi="Times New Roman"/>
          <w:sz w:val="28"/>
          <w:szCs w:val="28"/>
          <w:lang w:val="kk-KZ"/>
        </w:rPr>
      </w:pPr>
      <w:r w:rsidRPr="006A5357">
        <w:rPr>
          <w:rFonts w:ascii="Times New Roman" w:hAnsi="Times New Roman"/>
          <w:sz w:val="28"/>
          <w:szCs w:val="28"/>
          <w:lang w:val="kk-KZ"/>
        </w:rPr>
        <w:t>13. Электрондық коммерция процестерінің ақпараттық қауіпсіздігі</w:t>
      </w:r>
      <w:r>
        <w:rPr>
          <w:rFonts w:ascii="Times New Roman" w:hAnsi="Times New Roman"/>
          <w:sz w:val="28"/>
          <w:szCs w:val="28"/>
          <w:lang w:val="kk-KZ"/>
        </w:rPr>
        <w:t>.</w:t>
      </w:r>
    </w:p>
    <w:p w:rsidR="006C6BCF" w:rsidRDefault="006C6BCF" w:rsidP="006C6BCF">
      <w:pPr>
        <w:rPr>
          <w:rFonts w:ascii="Times New Roman" w:hAnsi="Times New Roman"/>
          <w:sz w:val="28"/>
          <w:szCs w:val="28"/>
          <w:lang w:val="kk-KZ"/>
        </w:rPr>
      </w:pPr>
      <w:r w:rsidRPr="00004AAA">
        <w:rPr>
          <w:rFonts w:ascii="Times New Roman" w:hAnsi="Times New Roman"/>
          <w:sz w:val="28"/>
          <w:szCs w:val="28"/>
          <w:lang w:val="kk-KZ"/>
        </w:rPr>
        <w:t>1</w:t>
      </w:r>
      <w:r w:rsidR="006A5357">
        <w:rPr>
          <w:rFonts w:ascii="Times New Roman" w:hAnsi="Times New Roman"/>
          <w:sz w:val="28"/>
          <w:szCs w:val="28"/>
          <w:lang w:val="kk-KZ"/>
        </w:rPr>
        <w:t>4</w:t>
      </w:r>
      <w:r w:rsidRPr="00004AAA">
        <w:rPr>
          <w:rFonts w:ascii="Times New Roman" w:hAnsi="Times New Roman"/>
          <w:sz w:val="28"/>
          <w:szCs w:val="28"/>
          <w:lang w:val="kk-KZ"/>
        </w:rPr>
        <w:t xml:space="preserve">. </w:t>
      </w:r>
      <w:r>
        <w:rPr>
          <w:rFonts w:ascii="Times New Roman" w:hAnsi="Times New Roman"/>
          <w:sz w:val="28"/>
          <w:szCs w:val="28"/>
          <w:lang w:val="kk-KZ"/>
        </w:rPr>
        <w:t>Бизнес коммуникация ерекшеліктері.</w:t>
      </w:r>
    </w:p>
    <w:p w:rsidR="006A5357" w:rsidRDefault="006A5357" w:rsidP="006C6BCF">
      <w:pPr>
        <w:rPr>
          <w:rFonts w:ascii="Times New Roman" w:hAnsi="Times New Roman"/>
          <w:sz w:val="28"/>
          <w:szCs w:val="28"/>
          <w:lang w:val="kk-KZ"/>
        </w:rPr>
      </w:pPr>
      <w:r>
        <w:rPr>
          <w:bCs/>
          <w:sz w:val="28"/>
          <w:szCs w:val="28"/>
          <w:lang w:val="kk-KZ" w:eastAsia="ar-SA"/>
        </w:rPr>
        <w:t xml:space="preserve">15. </w:t>
      </w:r>
      <w:r w:rsidRPr="00C47E8B">
        <w:rPr>
          <w:bCs/>
          <w:sz w:val="28"/>
          <w:szCs w:val="28"/>
          <w:lang w:val="kk-KZ" w:eastAsia="ar-SA"/>
        </w:rPr>
        <w:t>Коммуникацияның қазіргі қоғамдағы ролі</w:t>
      </w:r>
      <w:r>
        <w:rPr>
          <w:bCs/>
          <w:sz w:val="28"/>
          <w:szCs w:val="28"/>
          <w:lang w:val="kk-KZ" w:eastAsia="ar-SA"/>
        </w:rPr>
        <w:t>.</w:t>
      </w:r>
    </w:p>
    <w:p w:rsidR="0042528D" w:rsidRPr="0042528D" w:rsidRDefault="0042528D" w:rsidP="0042528D">
      <w:pPr>
        <w:rPr>
          <w:rFonts w:ascii="Times New Roman" w:hAnsi="Times New Roman"/>
          <w:b/>
          <w:sz w:val="28"/>
          <w:szCs w:val="28"/>
          <w:lang w:val="kk-KZ"/>
        </w:rPr>
      </w:pPr>
      <w:r w:rsidRPr="0042528D">
        <w:rPr>
          <w:rFonts w:ascii="Times New Roman" w:hAnsi="Times New Roman"/>
          <w:b/>
          <w:sz w:val="28"/>
          <w:szCs w:val="28"/>
          <w:lang w:val="kk-KZ"/>
        </w:rPr>
        <w:t>Әдебиеттер:</w:t>
      </w:r>
    </w:p>
    <w:p w:rsidR="0042528D" w:rsidRPr="0042528D" w:rsidRDefault="0042528D" w:rsidP="0042528D">
      <w:pPr>
        <w:rPr>
          <w:rFonts w:ascii="Times New Roman" w:hAnsi="Times New Roman"/>
          <w:sz w:val="28"/>
          <w:szCs w:val="28"/>
          <w:lang w:val="kk-KZ"/>
        </w:rPr>
      </w:pPr>
      <w:r w:rsidRPr="0042528D">
        <w:rPr>
          <w:rFonts w:ascii="Times New Roman" w:hAnsi="Times New Roman"/>
          <w:sz w:val="28"/>
          <w:szCs w:val="28"/>
          <w:lang w:val="kk-KZ"/>
        </w:rPr>
        <w:t xml:space="preserve">1. </w:t>
      </w:r>
      <w:r w:rsidRPr="0042528D">
        <w:rPr>
          <w:rFonts w:ascii="Times New Roman" w:hAnsi="Times New Roman"/>
          <w:sz w:val="28"/>
          <w:szCs w:val="28"/>
        </w:rPr>
        <w:t>Макаренкова Е.В. Электронная коммерция</w:t>
      </w:r>
      <w:proofErr w:type="gramStart"/>
      <w:r w:rsidRPr="0042528D">
        <w:rPr>
          <w:rFonts w:ascii="Times New Roman" w:hAnsi="Times New Roman"/>
          <w:sz w:val="28"/>
          <w:szCs w:val="28"/>
        </w:rPr>
        <w:t xml:space="preserve"> :</w:t>
      </w:r>
      <w:proofErr w:type="gramEnd"/>
      <w:r w:rsidRPr="0042528D">
        <w:rPr>
          <w:rFonts w:ascii="Times New Roman" w:hAnsi="Times New Roman"/>
          <w:sz w:val="28"/>
          <w:szCs w:val="28"/>
        </w:rPr>
        <w:t xml:space="preserve"> учебное пособие / Макаренкова Е.В.. — Москва : Евразийский открытый институт, 2010. — 136 </w:t>
      </w:r>
      <w:proofErr w:type="spellStart"/>
      <w:r w:rsidRPr="0042528D">
        <w:rPr>
          <w:rFonts w:ascii="Times New Roman" w:hAnsi="Times New Roman"/>
          <w:sz w:val="28"/>
          <w:szCs w:val="28"/>
        </w:rPr>
        <w:t>c</w:t>
      </w:r>
      <w:proofErr w:type="spellEnd"/>
      <w:r w:rsidRPr="0042528D">
        <w:rPr>
          <w:rFonts w:ascii="Times New Roman" w:hAnsi="Times New Roman"/>
          <w:sz w:val="28"/>
          <w:szCs w:val="28"/>
        </w:rPr>
        <w:t>. — ISBN 978 - 5 -374 -00374 -1</w:t>
      </w:r>
      <w:r w:rsidRPr="0042528D">
        <w:rPr>
          <w:rFonts w:ascii="Times New Roman" w:hAnsi="Times New Roman"/>
          <w:sz w:val="28"/>
          <w:szCs w:val="28"/>
          <w:lang w:val="kk-KZ"/>
        </w:rPr>
        <w:t>.</w:t>
      </w:r>
    </w:p>
    <w:p w:rsidR="0042528D" w:rsidRPr="0042528D" w:rsidRDefault="0042528D" w:rsidP="0042528D">
      <w:pPr>
        <w:rPr>
          <w:rFonts w:ascii="Times New Roman" w:hAnsi="Times New Roman"/>
          <w:sz w:val="28"/>
          <w:szCs w:val="28"/>
          <w:lang w:val="kk-KZ"/>
        </w:rPr>
      </w:pPr>
      <w:r>
        <w:rPr>
          <w:rFonts w:ascii="Times New Roman" w:hAnsi="Times New Roman"/>
          <w:sz w:val="28"/>
          <w:szCs w:val="28"/>
          <w:lang w:val="kk-KZ"/>
        </w:rPr>
        <w:t xml:space="preserve">2. </w:t>
      </w:r>
      <w:r w:rsidRPr="0042528D">
        <w:rPr>
          <w:rFonts w:ascii="Times New Roman" w:hAnsi="Times New Roman"/>
          <w:sz w:val="28"/>
          <w:szCs w:val="28"/>
        </w:rPr>
        <w:t>Савельев А.И. Электронная коммерция в России и за рубежом</w:t>
      </w:r>
      <w:proofErr w:type="gramStart"/>
      <w:r w:rsidRPr="0042528D">
        <w:rPr>
          <w:rFonts w:ascii="Times New Roman" w:hAnsi="Times New Roman"/>
          <w:sz w:val="28"/>
          <w:szCs w:val="28"/>
        </w:rPr>
        <w:t xml:space="preserve"> :</w:t>
      </w:r>
      <w:proofErr w:type="gramEnd"/>
      <w:r w:rsidRPr="0042528D">
        <w:rPr>
          <w:rFonts w:ascii="Times New Roman" w:hAnsi="Times New Roman"/>
          <w:sz w:val="28"/>
          <w:szCs w:val="28"/>
        </w:rPr>
        <w:t xml:space="preserve"> правовое регулирование / Савельев А.И.. — Москва : Статут, 2014. — 543 </w:t>
      </w:r>
      <w:proofErr w:type="spellStart"/>
      <w:r w:rsidRPr="0042528D">
        <w:rPr>
          <w:rFonts w:ascii="Times New Roman" w:hAnsi="Times New Roman"/>
          <w:sz w:val="28"/>
          <w:szCs w:val="28"/>
        </w:rPr>
        <w:t>c</w:t>
      </w:r>
      <w:proofErr w:type="spellEnd"/>
      <w:r w:rsidRPr="0042528D">
        <w:rPr>
          <w:rFonts w:ascii="Times New Roman" w:hAnsi="Times New Roman"/>
          <w:sz w:val="28"/>
          <w:szCs w:val="28"/>
        </w:rPr>
        <w:t>. — ISBN 978 - 5 -8354 - 1018 -7.</w:t>
      </w:r>
    </w:p>
    <w:p w:rsidR="0042528D" w:rsidRPr="0042528D" w:rsidRDefault="0042528D" w:rsidP="0042528D">
      <w:pPr>
        <w:rPr>
          <w:rFonts w:ascii="Times New Roman" w:hAnsi="Times New Roman"/>
          <w:sz w:val="28"/>
          <w:szCs w:val="28"/>
          <w:lang w:val="kk-KZ"/>
        </w:rPr>
      </w:pPr>
      <w:r>
        <w:rPr>
          <w:rFonts w:ascii="Times New Roman" w:hAnsi="Times New Roman"/>
          <w:sz w:val="28"/>
          <w:szCs w:val="28"/>
          <w:lang w:val="kk-KZ"/>
        </w:rPr>
        <w:t xml:space="preserve">3. </w:t>
      </w:r>
      <w:proofErr w:type="gramStart"/>
      <w:r w:rsidRPr="0042528D">
        <w:rPr>
          <w:rFonts w:ascii="Times New Roman" w:hAnsi="Times New Roman"/>
          <w:sz w:val="28"/>
          <w:szCs w:val="28"/>
        </w:rPr>
        <w:t>Калужский</w:t>
      </w:r>
      <w:proofErr w:type="gramEnd"/>
      <w:r w:rsidRPr="0042528D">
        <w:rPr>
          <w:rFonts w:ascii="Times New Roman" w:hAnsi="Times New Roman"/>
          <w:sz w:val="28"/>
          <w:szCs w:val="28"/>
        </w:rPr>
        <w:t xml:space="preserve"> М.Л. Электронная коммерция. Маркетинговые сети и инфраструктура рынка / Калужский М.Л.. — Москва</w:t>
      </w:r>
      <w:proofErr w:type="gramStart"/>
      <w:r w:rsidRPr="0042528D">
        <w:rPr>
          <w:rFonts w:ascii="Times New Roman" w:hAnsi="Times New Roman"/>
          <w:sz w:val="28"/>
          <w:szCs w:val="28"/>
        </w:rPr>
        <w:t xml:space="preserve"> :</w:t>
      </w:r>
      <w:proofErr w:type="gramEnd"/>
      <w:r w:rsidRPr="0042528D">
        <w:rPr>
          <w:rFonts w:ascii="Times New Roman" w:hAnsi="Times New Roman"/>
          <w:sz w:val="28"/>
          <w:szCs w:val="28"/>
        </w:rPr>
        <w:t xml:space="preserve"> Экономика, Омский государственный технический университет, 2014. — 327 </w:t>
      </w:r>
      <w:proofErr w:type="spellStart"/>
      <w:r w:rsidRPr="0042528D">
        <w:rPr>
          <w:rFonts w:ascii="Times New Roman" w:hAnsi="Times New Roman"/>
          <w:sz w:val="28"/>
          <w:szCs w:val="28"/>
        </w:rPr>
        <w:t>c</w:t>
      </w:r>
      <w:proofErr w:type="spellEnd"/>
      <w:r w:rsidRPr="0042528D">
        <w:rPr>
          <w:rFonts w:ascii="Times New Roman" w:hAnsi="Times New Roman"/>
          <w:sz w:val="28"/>
          <w:szCs w:val="28"/>
        </w:rPr>
        <w:t>. — ISBN 978 - 5 -282 -03365 -6. — Текст</w:t>
      </w:r>
      <w:proofErr w:type="gramStart"/>
      <w:r w:rsidRPr="0042528D">
        <w:rPr>
          <w:rFonts w:ascii="Times New Roman" w:hAnsi="Times New Roman"/>
          <w:sz w:val="28"/>
          <w:szCs w:val="28"/>
        </w:rPr>
        <w:t xml:space="preserve"> :</w:t>
      </w:r>
      <w:proofErr w:type="gramEnd"/>
      <w:r w:rsidRPr="0042528D">
        <w:rPr>
          <w:rFonts w:ascii="Times New Roman" w:hAnsi="Times New Roman"/>
          <w:sz w:val="28"/>
          <w:szCs w:val="28"/>
        </w:rPr>
        <w:t xml:space="preserve"> электронный //</w:t>
      </w:r>
    </w:p>
    <w:p w:rsidR="0042528D" w:rsidRPr="0042528D" w:rsidRDefault="0042528D" w:rsidP="0042528D">
      <w:pPr>
        <w:rPr>
          <w:rFonts w:ascii="Times New Roman" w:hAnsi="Times New Roman"/>
          <w:sz w:val="28"/>
          <w:szCs w:val="28"/>
          <w:lang w:val="kk-KZ"/>
        </w:rPr>
      </w:pPr>
      <w:r>
        <w:rPr>
          <w:rFonts w:ascii="Times New Roman" w:hAnsi="Times New Roman"/>
          <w:sz w:val="28"/>
          <w:szCs w:val="28"/>
          <w:lang w:val="kk-KZ"/>
        </w:rPr>
        <w:t xml:space="preserve">4. </w:t>
      </w:r>
      <w:proofErr w:type="spellStart"/>
      <w:r w:rsidRPr="0042528D">
        <w:rPr>
          <w:rFonts w:ascii="Times New Roman" w:hAnsi="Times New Roman"/>
          <w:sz w:val="28"/>
          <w:szCs w:val="28"/>
        </w:rPr>
        <w:t>Быстренина</w:t>
      </w:r>
      <w:proofErr w:type="spellEnd"/>
      <w:r w:rsidRPr="0042528D">
        <w:rPr>
          <w:rFonts w:ascii="Times New Roman" w:hAnsi="Times New Roman"/>
          <w:sz w:val="28"/>
          <w:szCs w:val="28"/>
        </w:rPr>
        <w:t xml:space="preserve"> И.Е. Электронная коммерция : 108/30 21 </w:t>
      </w:r>
      <w:proofErr w:type="spellStart"/>
      <w:r w:rsidRPr="0042528D">
        <w:rPr>
          <w:rFonts w:ascii="Times New Roman" w:hAnsi="Times New Roman"/>
          <w:sz w:val="28"/>
          <w:szCs w:val="28"/>
        </w:rPr>
        <w:t>Электронно</w:t>
      </w:r>
      <w:proofErr w:type="spellEnd"/>
      <w:r w:rsidRPr="0042528D">
        <w:rPr>
          <w:rFonts w:ascii="Times New Roman" w:hAnsi="Times New Roman"/>
          <w:sz w:val="28"/>
          <w:szCs w:val="28"/>
        </w:rPr>
        <w:t xml:space="preserve"> - библиотечная си </w:t>
      </w:r>
      <w:proofErr w:type="gramStart"/>
      <w:r w:rsidRPr="0042528D">
        <w:rPr>
          <w:rFonts w:ascii="Times New Roman" w:hAnsi="Times New Roman"/>
          <w:sz w:val="28"/>
          <w:szCs w:val="28"/>
        </w:rPr>
        <w:t>-</w:t>
      </w:r>
      <w:proofErr w:type="spellStart"/>
      <w:r w:rsidRPr="0042528D">
        <w:rPr>
          <w:rFonts w:ascii="Times New Roman" w:hAnsi="Times New Roman"/>
          <w:sz w:val="28"/>
          <w:szCs w:val="28"/>
        </w:rPr>
        <w:t>с</w:t>
      </w:r>
      <w:proofErr w:type="gramEnd"/>
      <w:r w:rsidRPr="0042528D">
        <w:rPr>
          <w:rFonts w:ascii="Times New Roman" w:hAnsi="Times New Roman"/>
          <w:sz w:val="28"/>
          <w:szCs w:val="28"/>
        </w:rPr>
        <w:t>тема</w:t>
      </w:r>
      <w:proofErr w:type="spellEnd"/>
      <w:r w:rsidRPr="0042528D">
        <w:rPr>
          <w:rFonts w:ascii="Times New Roman" w:hAnsi="Times New Roman"/>
          <w:sz w:val="28"/>
          <w:szCs w:val="28"/>
        </w:rPr>
        <w:t xml:space="preserve"> IPR BOOKS : 30% 9 учебное пособие / </w:t>
      </w:r>
      <w:proofErr w:type="spellStart"/>
      <w:r w:rsidRPr="0042528D">
        <w:rPr>
          <w:rFonts w:ascii="Times New Roman" w:hAnsi="Times New Roman"/>
          <w:sz w:val="28"/>
          <w:szCs w:val="28"/>
        </w:rPr>
        <w:t>Быстренина</w:t>
      </w:r>
      <w:proofErr w:type="spellEnd"/>
      <w:r w:rsidRPr="0042528D">
        <w:rPr>
          <w:rFonts w:ascii="Times New Roman" w:hAnsi="Times New Roman"/>
          <w:sz w:val="28"/>
          <w:szCs w:val="28"/>
        </w:rPr>
        <w:t xml:space="preserve"> И.Е.. — Москва : Дашков и</w:t>
      </w:r>
      <w:proofErr w:type="gramStart"/>
      <w:r w:rsidRPr="0042528D">
        <w:rPr>
          <w:rFonts w:ascii="Times New Roman" w:hAnsi="Times New Roman"/>
          <w:sz w:val="28"/>
          <w:szCs w:val="28"/>
        </w:rPr>
        <w:t xml:space="preserve"> К</w:t>
      </w:r>
      <w:proofErr w:type="gramEnd"/>
      <w:r w:rsidRPr="0042528D">
        <w:rPr>
          <w:rFonts w:ascii="Times New Roman" w:hAnsi="Times New Roman"/>
          <w:sz w:val="28"/>
          <w:szCs w:val="28"/>
        </w:rPr>
        <w:t xml:space="preserve">, 2019. — 90 </w:t>
      </w:r>
      <w:proofErr w:type="spellStart"/>
      <w:r w:rsidRPr="0042528D">
        <w:rPr>
          <w:rFonts w:ascii="Times New Roman" w:hAnsi="Times New Roman"/>
          <w:sz w:val="28"/>
          <w:szCs w:val="28"/>
        </w:rPr>
        <w:t>c</w:t>
      </w:r>
      <w:proofErr w:type="spellEnd"/>
      <w:r w:rsidRPr="0042528D">
        <w:rPr>
          <w:rFonts w:ascii="Times New Roman" w:hAnsi="Times New Roman"/>
          <w:sz w:val="28"/>
          <w:szCs w:val="28"/>
        </w:rPr>
        <w:t>. — ISBN 978-5-394-03372-8</w:t>
      </w:r>
    </w:p>
    <w:p w:rsidR="0042528D" w:rsidRDefault="0042528D" w:rsidP="0042528D">
      <w:pPr>
        <w:rPr>
          <w:rFonts w:ascii="Times New Roman" w:hAnsi="Times New Roman"/>
          <w:sz w:val="28"/>
          <w:szCs w:val="28"/>
          <w:lang w:val="kk-KZ"/>
        </w:rPr>
      </w:pPr>
      <w:r>
        <w:rPr>
          <w:rFonts w:ascii="Times New Roman" w:hAnsi="Times New Roman"/>
          <w:sz w:val="28"/>
          <w:szCs w:val="28"/>
          <w:lang w:val="kk-KZ"/>
        </w:rPr>
        <w:t xml:space="preserve">5. </w:t>
      </w:r>
      <w:r w:rsidRPr="0042528D">
        <w:rPr>
          <w:rFonts w:ascii="Times New Roman" w:hAnsi="Times New Roman"/>
          <w:sz w:val="28"/>
          <w:szCs w:val="28"/>
        </w:rPr>
        <w:t>Гаврилов Л.П. Электронная коммерция</w:t>
      </w:r>
      <w:proofErr w:type="gramStart"/>
      <w:r w:rsidRPr="0042528D">
        <w:rPr>
          <w:rFonts w:ascii="Times New Roman" w:hAnsi="Times New Roman"/>
          <w:sz w:val="28"/>
          <w:szCs w:val="28"/>
        </w:rPr>
        <w:t xml:space="preserve"> :</w:t>
      </w:r>
      <w:proofErr w:type="gramEnd"/>
      <w:r w:rsidRPr="0042528D">
        <w:rPr>
          <w:rFonts w:ascii="Times New Roman" w:hAnsi="Times New Roman"/>
          <w:sz w:val="28"/>
          <w:szCs w:val="28"/>
        </w:rPr>
        <w:t xml:space="preserve"> учебное пособие по выполнению практических работ / Гаврилов Л.П.. — Москва : СОЛОН-Пресс, 2017. — 112 </w:t>
      </w:r>
      <w:proofErr w:type="spellStart"/>
      <w:r w:rsidRPr="0042528D">
        <w:rPr>
          <w:rFonts w:ascii="Times New Roman" w:hAnsi="Times New Roman"/>
          <w:sz w:val="28"/>
          <w:szCs w:val="28"/>
        </w:rPr>
        <w:t>c</w:t>
      </w:r>
      <w:proofErr w:type="spellEnd"/>
      <w:r w:rsidRPr="0042528D">
        <w:rPr>
          <w:rFonts w:ascii="Times New Roman" w:hAnsi="Times New Roman"/>
          <w:sz w:val="28"/>
          <w:szCs w:val="28"/>
        </w:rPr>
        <w:t>. — ISBN 5-98003-246- 0.</w:t>
      </w:r>
    </w:p>
    <w:p w:rsidR="0042528D" w:rsidRDefault="0042528D" w:rsidP="0042528D">
      <w:pPr>
        <w:rPr>
          <w:sz w:val="28"/>
          <w:szCs w:val="28"/>
          <w:lang w:val="kk-KZ"/>
        </w:rPr>
      </w:pPr>
    </w:p>
    <w:p w:rsidR="0042528D" w:rsidRDefault="0042528D" w:rsidP="0042528D">
      <w:pPr>
        <w:rPr>
          <w:sz w:val="28"/>
          <w:szCs w:val="28"/>
          <w:lang w:val="kk-KZ"/>
        </w:rPr>
      </w:pPr>
      <w:r w:rsidRPr="0042528D">
        <w:rPr>
          <w:sz w:val="28"/>
          <w:szCs w:val="28"/>
        </w:rPr>
        <w:t xml:space="preserve">1. Электронно-библиотечная система </w:t>
      </w:r>
      <w:proofErr w:type="spellStart"/>
      <w:r w:rsidRPr="0042528D">
        <w:rPr>
          <w:sz w:val="28"/>
          <w:szCs w:val="28"/>
        </w:rPr>
        <w:t>IPRbooks</w:t>
      </w:r>
      <w:proofErr w:type="spellEnd"/>
      <w:r w:rsidRPr="0042528D">
        <w:rPr>
          <w:sz w:val="28"/>
          <w:szCs w:val="28"/>
        </w:rPr>
        <w:t xml:space="preserve"> </w:t>
      </w:r>
      <w:proofErr w:type="gramStart"/>
      <w:r w:rsidRPr="0042528D">
        <w:rPr>
          <w:sz w:val="28"/>
          <w:szCs w:val="28"/>
        </w:rPr>
        <w:t xml:space="preserve">( </w:t>
      </w:r>
      <w:proofErr w:type="spellStart"/>
      <w:proofErr w:type="gramEnd"/>
      <w:r w:rsidRPr="0042528D">
        <w:rPr>
          <w:sz w:val="28"/>
          <w:szCs w:val="28"/>
        </w:rPr>
        <w:t>www.iprbookshop.ru</w:t>
      </w:r>
      <w:proofErr w:type="spellEnd"/>
      <w:r w:rsidRPr="0042528D">
        <w:rPr>
          <w:sz w:val="28"/>
          <w:szCs w:val="28"/>
        </w:rPr>
        <w:t xml:space="preserve">) </w:t>
      </w:r>
    </w:p>
    <w:p w:rsidR="0042528D" w:rsidRDefault="0042528D" w:rsidP="0042528D">
      <w:pPr>
        <w:rPr>
          <w:sz w:val="28"/>
          <w:szCs w:val="28"/>
          <w:lang w:val="kk-KZ"/>
        </w:rPr>
      </w:pPr>
      <w:r w:rsidRPr="0042528D">
        <w:rPr>
          <w:sz w:val="28"/>
          <w:szCs w:val="28"/>
        </w:rPr>
        <w:t xml:space="preserve">2. </w:t>
      </w:r>
      <w:proofErr w:type="gramStart"/>
      <w:r w:rsidRPr="0042528D">
        <w:rPr>
          <w:sz w:val="28"/>
          <w:szCs w:val="28"/>
        </w:rPr>
        <w:t xml:space="preserve">Образовательная платформа «ЮРАЙТ» </w:t>
      </w:r>
      <w:hyperlink r:id="rId5" w:history="1">
        <w:r w:rsidRPr="003806EA">
          <w:rPr>
            <w:rStyle w:val="a3"/>
            <w:sz w:val="28"/>
            <w:szCs w:val="28"/>
          </w:rPr>
          <w:t>https://urait.ru/</w:t>
        </w:r>
      </w:hyperlink>
      <w:r w:rsidRPr="0042528D">
        <w:rPr>
          <w:sz w:val="28"/>
          <w:szCs w:val="28"/>
        </w:rPr>
        <w:t xml:space="preserve">) </w:t>
      </w:r>
      <w:proofErr w:type="gramEnd"/>
    </w:p>
    <w:p w:rsidR="0042528D" w:rsidRDefault="0042528D" w:rsidP="0042528D">
      <w:pPr>
        <w:rPr>
          <w:sz w:val="28"/>
          <w:szCs w:val="28"/>
          <w:lang w:val="kk-KZ"/>
        </w:rPr>
      </w:pPr>
      <w:r w:rsidRPr="0042528D">
        <w:rPr>
          <w:sz w:val="28"/>
          <w:szCs w:val="28"/>
        </w:rPr>
        <w:t>3. Электронно-библиотечная систем</w:t>
      </w:r>
      <w:proofErr w:type="gramStart"/>
      <w:r w:rsidRPr="0042528D">
        <w:rPr>
          <w:sz w:val="28"/>
          <w:szCs w:val="28"/>
        </w:rPr>
        <w:t>а«</w:t>
      </w:r>
      <w:proofErr w:type="gramEnd"/>
      <w:r w:rsidRPr="0042528D">
        <w:rPr>
          <w:sz w:val="28"/>
          <w:szCs w:val="28"/>
        </w:rPr>
        <w:t>Лань» (</w:t>
      </w:r>
      <w:hyperlink r:id="rId6" w:history="1">
        <w:r w:rsidRPr="003806EA">
          <w:rPr>
            <w:rStyle w:val="a3"/>
            <w:sz w:val="28"/>
            <w:szCs w:val="28"/>
          </w:rPr>
          <w:t>https://e.lanbook.com/</w:t>
        </w:r>
      </w:hyperlink>
      <w:r w:rsidRPr="0042528D">
        <w:rPr>
          <w:sz w:val="28"/>
          <w:szCs w:val="28"/>
        </w:rPr>
        <w:t xml:space="preserve">) </w:t>
      </w:r>
    </w:p>
    <w:p w:rsidR="0042528D" w:rsidRDefault="0042528D" w:rsidP="0042528D">
      <w:pPr>
        <w:rPr>
          <w:sz w:val="28"/>
          <w:szCs w:val="28"/>
          <w:lang w:val="kk-KZ"/>
        </w:rPr>
      </w:pPr>
      <w:r w:rsidRPr="0042528D">
        <w:rPr>
          <w:sz w:val="28"/>
          <w:szCs w:val="28"/>
        </w:rPr>
        <w:t>4. МЭБ (Межвузовская электронная библиотека</w:t>
      </w:r>
      <w:proofErr w:type="gramStart"/>
      <w:r w:rsidRPr="0042528D">
        <w:rPr>
          <w:sz w:val="28"/>
          <w:szCs w:val="28"/>
        </w:rPr>
        <w:t xml:space="preserve"> )</w:t>
      </w:r>
      <w:proofErr w:type="gramEnd"/>
      <w:r w:rsidRPr="0042528D">
        <w:rPr>
          <w:sz w:val="28"/>
          <w:szCs w:val="28"/>
        </w:rPr>
        <w:t xml:space="preserve"> НГПУ. (</w:t>
      </w:r>
      <w:hyperlink r:id="rId7" w:history="1">
        <w:r w:rsidRPr="003806EA">
          <w:rPr>
            <w:rStyle w:val="a3"/>
            <w:sz w:val="28"/>
            <w:szCs w:val="28"/>
          </w:rPr>
          <w:t>https://icdlib.nspu.ru/</w:t>
        </w:r>
      </w:hyperlink>
      <w:r w:rsidRPr="0042528D">
        <w:rPr>
          <w:sz w:val="28"/>
          <w:szCs w:val="28"/>
        </w:rPr>
        <w:t xml:space="preserve">) </w:t>
      </w:r>
    </w:p>
    <w:p w:rsidR="0042528D" w:rsidRDefault="0042528D" w:rsidP="0042528D">
      <w:pPr>
        <w:rPr>
          <w:sz w:val="28"/>
          <w:szCs w:val="28"/>
          <w:lang w:val="kk-KZ"/>
        </w:rPr>
      </w:pPr>
      <w:r w:rsidRPr="0042528D">
        <w:rPr>
          <w:sz w:val="28"/>
          <w:szCs w:val="28"/>
        </w:rPr>
        <w:t xml:space="preserve">5. НАУЧНАЯ ЭЛЕКТРОННАЯ БИБЛИОТЕКА </w:t>
      </w:r>
      <w:proofErr w:type="spellStart"/>
      <w:r w:rsidRPr="0042528D">
        <w:rPr>
          <w:sz w:val="28"/>
          <w:szCs w:val="28"/>
        </w:rPr>
        <w:t>eLIBRARY.RU</w:t>
      </w:r>
      <w:proofErr w:type="spellEnd"/>
      <w:r w:rsidRPr="0042528D">
        <w:rPr>
          <w:sz w:val="28"/>
          <w:szCs w:val="28"/>
        </w:rPr>
        <w:t xml:space="preserve"> (</w:t>
      </w:r>
      <w:hyperlink r:id="rId8" w:history="1">
        <w:r w:rsidRPr="003806EA">
          <w:rPr>
            <w:rStyle w:val="a3"/>
            <w:sz w:val="28"/>
            <w:szCs w:val="28"/>
          </w:rPr>
          <w:t>https://www.elibrary.ru/</w:t>
        </w:r>
      </w:hyperlink>
      <w:r w:rsidRPr="0042528D">
        <w:rPr>
          <w:sz w:val="28"/>
          <w:szCs w:val="28"/>
        </w:rPr>
        <w:t>)</w:t>
      </w:r>
    </w:p>
    <w:p w:rsidR="0042528D" w:rsidRPr="0042528D" w:rsidRDefault="0042528D" w:rsidP="0042528D">
      <w:pPr>
        <w:rPr>
          <w:rFonts w:ascii="Times New Roman" w:hAnsi="Times New Roman"/>
          <w:sz w:val="28"/>
          <w:szCs w:val="28"/>
          <w:lang w:val="kk-KZ"/>
        </w:rPr>
      </w:pPr>
      <w:r w:rsidRPr="0042528D">
        <w:rPr>
          <w:sz w:val="28"/>
          <w:szCs w:val="28"/>
        </w:rPr>
        <w:t xml:space="preserve"> 6. СПС «</w:t>
      </w:r>
      <w:proofErr w:type="spellStart"/>
      <w:r w:rsidRPr="0042528D">
        <w:rPr>
          <w:sz w:val="28"/>
          <w:szCs w:val="28"/>
        </w:rPr>
        <w:t>КонсультантПлюс</w:t>
      </w:r>
      <w:proofErr w:type="spellEnd"/>
      <w:r w:rsidRPr="0042528D">
        <w:rPr>
          <w:sz w:val="28"/>
          <w:szCs w:val="28"/>
        </w:rPr>
        <w:t>» (http://www.consultant.ru/)</w:t>
      </w:r>
    </w:p>
    <w:p w:rsidR="006A5357" w:rsidRDefault="006A5357" w:rsidP="006C6BCF">
      <w:pPr>
        <w:rPr>
          <w:rFonts w:ascii="Times New Roman" w:hAnsi="Times New Roman"/>
          <w:sz w:val="28"/>
          <w:szCs w:val="28"/>
          <w:lang w:val="kk-KZ"/>
        </w:rPr>
      </w:pPr>
    </w:p>
    <w:sectPr w:rsidR="006A5357" w:rsidSect="00E96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C6BCF"/>
    <w:rsid w:val="0042528D"/>
    <w:rsid w:val="006A5357"/>
    <w:rsid w:val="006C6BCF"/>
    <w:rsid w:val="007D1EC5"/>
    <w:rsid w:val="00E9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CF"/>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BCF"/>
    <w:rPr>
      <w:rFonts w:cs="Times New Roman"/>
      <w:color w:val="0000FF"/>
      <w:u w:val="single"/>
    </w:rPr>
  </w:style>
  <w:style w:type="paragraph" w:customStyle="1" w:styleId="Default">
    <w:name w:val="Default"/>
    <w:rsid w:val="006C6BC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6C6BC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 TargetMode="External"/><Relationship Id="rId3" Type="http://schemas.openxmlformats.org/officeDocument/2006/relationships/webSettings" Target="webSettings.xml"/><Relationship Id="rId7" Type="http://schemas.openxmlformats.org/officeDocument/2006/relationships/hyperlink" Target="https://icdlib.nsp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anbook.com/" TargetMode="External"/><Relationship Id="rId5" Type="http://schemas.openxmlformats.org/officeDocument/2006/relationships/hyperlink" Target="https://urait.ru/" TargetMode="External"/><Relationship Id="rId10" Type="http://schemas.openxmlformats.org/officeDocument/2006/relationships/theme" Target="theme/theme1.xml"/><Relationship Id="rId4" Type="http://schemas.openxmlformats.org/officeDocument/2006/relationships/hyperlink" Target="https://www.kaznu.kz/ru/21639/pag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2022-10-14T15:51:00Z</dcterms:created>
  <dcterms:modified xsi:type="dcterms:W3CDTF">2022-10-14T16:44:00Z</dcterms:modified>
</cp:coreProperties>
</file>